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footer+xml" PartName="/word/footer2.xml"/>
  <Override ContentType="application/vnd.openxmlformats-officedocument.wordprocessingml.header+xml" PartName="/word/header3.xml"/>
  <Override ContentType="application/vnd.openxmlformats-officedocument.wordprocessingml.footer+xml" PartName="/word/footer3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20"/>
        <w:gridCol w:w="8309"/>
      </w:tblGrid>
      <w:tr>
        <w:tc>
          <w:tcPr>
            <w:tcW w:type="dxa" w:w="7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S</w:t>
            </w:r>
          </w:p>
        </w:tc>
        <w:tc>
          <w:tcPr>
            <w:tcW w:type="dxa" w:w="830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SCENARIUSZ ZAJĘĆ OTWARTYCH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Nauczyciel przedmiotowy – wymaganie §7 ust. 3 pkt 2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Nauczyciel prowadzący: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IMIĘ NAZWISKO]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Przedmiot / stanowisko: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PRZEDMIOT, np. historia / biologia / j. angielski]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Szkoła: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PEŁNA NAZWA SZKOŁY]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Klasa: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NR KLASY], uczniowie w wieku [☑ X–Y] lat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Liczba uczniów: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X] uczniów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Data i godzina: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DD.MM.RRRR, godz. XX:XX]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Czas trwania: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45 minut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Miejsce: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sala lekcyjna [☑ NUMER]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Obserwatorzy: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nauczyciele szkoły / dyrekcja / pedagog</w:t>
            </w:r>
          </w:p>
        </w:tc>
      </w:tr>
    </w:tbl>
    <w:p>
      <w:pPr>
        <w:spacing w:after="8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TEMAT ZAJĘĆ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2A0099"/>
          <w:sz w:val="21"/>
          <w:szCs w:val="21"/>
        </w:rPr>
        <w:t xml:space="preserve">„[☑ WPISZ TEMAT LEKCJI] – z zastosowaniem dyskusji oksfordzkiej i metody odwróconej klasy”</w:t>
      </w:r>
    </w:p>
    <w:p>
      <w:pPr>
        <w:spacing w:after="2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450EFF" w:sz="4"/>
              <w:left w:val="single" w:color="450EFF" w:sz="16"/>
              <w:bottom w:val="single" w:color="450EFF" w:sz="4"/>
              <w:right w:val="none" w:color="FFFFFF" w:sz="0"/>
            </w:tcBorders>
            <w:shd w:fill="EAE6FF" w:val="clear"/>
            <w:tcMar>
              <w:top w:type="dxa" w:w="100"/>
              <w:left w:type="dxa" w:w="180"/>
              <w:bottom w:type="dxa" w:w="80"/>
              <w:right w:type="dxa" w:w="140"/>
            </w:tcMar>
          </w:tcPr>
          <w:p>
            <w:pPr>
              <w:spacing w:after="2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50EFF"/>
                <w:sz w:val="19"/>
                <w:szCs w:val="19"/>
              </w:rPr>
              <w:t xml:space="preserve">Powiązanie z wymaganiem awansowym:</w:t>
            </w:r>
          </w:p>
          <w:p>
            <w:pPr>
              <w:spacing w:after="6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44444"/>
                <w:sz w:val="19"/>
                <w:szCs w:val="19"/>
              </w:rPr>
              <w:t xml:space="preserve">Zajęcia otwarte realizują wymaganie §7 ust. 3 pkt 2 (dzielenie się wiedzą) oraz pkt 3 (metody aktywizujące i TIK). Obserwatorzy mogą zapoznać się z praktycznym zastosowaniem dyskusji oksfordzkiej i GeoGebry/Kahoot/Padlet w każdym przedmiocie.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CELE ZAJĘĆ</w:t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Cel główny:</w:t>
      </w:r>
    </w:p>
    <w:p>
      <w:pPr>
        <w:spacing w:after="40" w:before="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444444"/>
          <w:sz w:val="19"/>
          <w:szCs w:val="19"/>
        </w:rPr>
        <w:t xml:space="preserve">Rozwinąć u uczniów umiejętność argumentacji, krytycznego myślenia i aktywnego udziału w debacie przedmiotowej przy jednoczesnym głębokim opanowaniu treści merytorycznych.</w:t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Cele szczegółowe – uczeń: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rozumie główne tezy tematu i potrafi je odnieść do własnych przemyśleń;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buduje spójny argument: TEZA → PRZYKŁAD → WNIOSEK;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słucha aktywnie i odpowiada na argumenty przeciwnika;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korzysta z narzędzi cyfrowych do utrwalenia i podsumowania wiedzy.</w:t>
      </w:r>
    </w:p>
    <w:p>
      <w:pPr>
        <w:spacing w:after="4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METODY I FORMY PRACY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04"/>
        <w:gridCol w:w="4504"/>
      </w:tblGrid>
      <w:tr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Metody aktywizujące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Dyskusja oksfordzka (Oxford debate)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Odwrócona klasa – materiał zadan y dzięki Padlet przed lekcją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Karta argumentacji (TEZA→PRZYKŁAD→WNIOSEK)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Ocena koleżeńska (peer review) argumentów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Quiz podsumowujący w Kahoot</w:t>
            </w:r>
          </w:p>
        </w:tc>
        <w:tc>
          <w:tcPr>
            <w:tcW w:type="dxa" w:w="4504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D6F5EB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30" w:before="0"/>
            </w:pPr>
            <w:r>
              <w:rPr>
                <w:rFonts w:ascii="Arial" w:cs="Arial" w:eastAsia="Arial" w:hAnsi="Arial"/>
                <w:b/>
                <w:bCs/>
                <w:color w:val="005C3A"/>
                <w:sz w:val="19"/>
                <w:szCs w:val="19"/>
              </w:rPr>
              <w:t xml:space="preserve">Narzędzia TIK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Padlet – zbiórka argumentów (przed lekcją)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Kahoot – quiz sprawdzający na start (5 pytań)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Timer online (widoczny dla uczniów)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Prezentacja – struktura dyskusji oksfordzkiej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[☑ UZUPEŁNIJ: specyficzne dla przedmiotu, np. GeoGebra, Quizlet]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PRZEBIEG ZAJĘĆ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1800"/>
        <w:gridCol w:w="3700"/>
        <w:gridCol w:w="2629"/>
      </w:tblGrid>
      <w:tr>
        <w:tc>
          <w:tcPr>
            <w:tcW w:type="dxa" w:w="9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CZAS</w:t>
            </w:r>
          </w:p>
        </w:tc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ETAP</w:t>
            </w:r>
          </w:p>
        </w:tc>
        <w:tc>
          <w:tcPr>
            <w:tcW w:type="dxa" w:w="37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OPIS DZIAŁAŃ</w:t>
            </w:r>
          </w:p>
        </w:tc>
        <w:tc>
          <w:tcPr>
            <w:tcW w:type="dxa" w:w="2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METODY / TIK</w:t>
            </w:r>
          </w:p>
        </w:tc>
      </w:tr>
      <w:tr>
        <w:tc>
          <w:tcPr>
            <w:tcW w:type="dxa" w:w="9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0–6 min</w:t>
            </w:r>
          </w:p>
        </w:tc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Quiz na start + zasady</w:t>
            </w:r>
          </w:p>
        </w:tc>
        <w:tc>
          <w:tcPr>
            <w:tcW w:type="dxa" w:w="37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19"/>
                <w:szCs w:val="19"/>
              </w:rPr>
              <w:t xml:space="preserve">Nauczyciel uruchamia Kahoot (5 pytań z materiału zadanego na Padlet). Uczniowie odpowiadają z telefonów. Nauczyciel omawiając wyniki identyfikuje luki. Następnie wyświetla zasady dyskusji oksfordzkiej (slajd) i tłumaczy role: TWIERDZACY → PRZECZYCY → SĘDZIOWIE.</w:t>
            </w:r>
          </w:p>
        </w:tc>
        <w:tc>
          <w:tcPr>
            <w:tcW w:type="dxa" w:w="2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19"/>
                <w:szCs w:val="19"/>
              </w:rPr>
              <w:t xml:space="preserve">Kahoot
Slajd z zasadami
Telefony uczniów</w:t>
            </w:r>
          </w:p>
        </w:tc>
      </w:tr>
      <w:tr>
        <w:tc>
          <w:tcPr>
            <w:tcW w:type="dxa" w:w="9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6–10 min</w:t>
            </w:r>
          </w:p>
        </w:tc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Podział i przygotowanie</w:t>
            </w:r>
          </w:p>
        </w:tc>
        <w:tc>
          <w:tcPr>
            <w:tcW w:type="dxa" w:w="37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19"/>
                <w:szCs w:val="19"/>
              </w:rPr>
              <w:t xml:space="preserve">Nauczyciel ogłasza tezę do dyskusji: „[☑ WPISZ TEZĘ PRZEDMIOTOWĄ]”. Uczniowie losują rolę (twierdzacy / przeczycy / sędziowie). Każda strona ma 3 min na przygotowanie argumentów (karta argumentacji TEZA→PRZYKŁAD→WNIOSEK). Sędziowie przygotowują kryteria oceny.</w:t>
            </w:r>
          </w:p>
        </w:tc>
        <w:tc>
          <w:tcPr>
            <w:tcW w:type="dxa" w:w="2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19"/>
                <w:szCs w:val="19"/>
              </w:rPr>
              <w:t xml:space="preserve">Karty argumentacji
Losów role
Timer 3 min</w:t>
            </w:r>
          </w:p>
        </w:tc>
      </w:tr>
      <w:tr>
        <w:tc>
          <w:tcPr>
            <w:tcW w:type="dxa" w:w="9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10–25 min</w:t>
            </w:r>
          </w:p>
        </w:tc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Dyskusja oksfordzka</w:t>
            </w:r>
          </w:p>
        </w:tc>
        <w:tc>
          <w:tcPr>
            <w:tcW w:type="dxa" w:w="37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19"/>
                <w:szCs w:val="19"/>
              </w:rPr>
              <w:t xml:space="preserve">Runda 1 (5 min): twierdzacy prezentują 3 argumenty (1,5 min/argument). Runda 2 (5 min): przeczycy odpowiadają i dodają własne. Runda 3 (3 min): twierdzacy odpowiadają na riposty. Runda 4 (2 min): przeczycy podsumowują. Nauczyciel nie ingeruje w treść – pilnuje czasu i kultury dyskusji.</w:t>
            </w:r>
          </w:p>
        </w:tc>
        <w:tc>
          <w:tcPr>
            <w:tcW w:type="dxa" w:w="2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19"/>
                <w:szCs w:val="19"/>
              </w:rPr>
              <w:t xml:space="preserve">Timer online
Karty argument.
4 rundy
Nauczyciel = arbiter czasu</w:t>
            </w:r>
          </w:p>
        </w:tc>
      </w:tr>
      <w:tr>
        <w:tc>
          <w:tcPr>
            <w:tcW w:type="dxa" w:w="9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25–35 min</w:t>
            </w:r>
          </w:p>
        </w:tc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Werdykt sędziów + ocena</w:t>
            </w:r>
          </w:p>
        </w:tc>
        <w:tc>
          <w:tcPr>
            <w:tcW w:type="dxa" w:w="37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19"/>
                <w:szCs w:val="19"/>
              </w:rPr>
              <w:t xml:space="preserve">Sędziowie (2–3 min) ogłaszają werdykt z uzasadnieniem według kryteriów: siła argumentów, merytoryczność, kulturalna forma. Nauczyciel komentuje wybór argumentów z perspektywy merytorycznej (nie wygraną/przegranego).</w:t>
            </w:r>
          </w:p>
        </w:tc>
        <w:tc>
          <w:tcPr>
            <w:tcW w:type="dxa" w:w="2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19"/>
                <w:szCs w:val="19"/>
              </w:rPr>
              <w:t xml:space="preserve">Kryteria sędziów
Werdykt ustny
Komentarz nauczyciela</w:t>
            </w:r>
          </w:p>
        </w:tc>
      </w:tr>
      <w:tr>
        <w:tc>
          <w:tcPr>
            <w:tcW w:type="dxa" w:w="9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35–40 min</w:t>
            </w:r>
          </w:p>
        </w:tc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Wyjście z ról + podsumowanie</w:t>
            </w:r>
          </w:p>
        </w:tc>
        <w:tc>
          <w:tcPr>
            <w:tcW w:type="dxa" w:w="37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19"/>
                <w:szCs w:val="19"/>
              </w:rPr>
              <w:t xml:space="preserve">Uczniowie wychodzą z ról dyskutantów i wracają do swoich własnych poglądów. Krótka dyskusja ogólna – co MY jako klasa sądzimy o temacie? Nauczyciel zadaje pytanie kluczowe [☑ UZUPEŁNIJ]. Uczniowie odpowiadają anonim. na Padlet (1 zdanie podsumowujące).</w:t>
            </w:r>
          </w:p>
        </w:tc>
        <w:tc>
          <w:tcPr>
            <w:tcW w:type="dxa" w:w="2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19"/>
                <w:szCs w:val="19"/>
              </w:rPr>
              <w:t xml:space="preserve">Padlet
Pytanie kluczowe
Anonimowa odpowiedź</w:t>
            </w:r>
          </w:p>
        </w:tc>
      </w:tr>
      <w:tr>
        <w:tc>
          <w:tcPr>
            <w:tcW w:type="dxa" w:w="9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40–45 min</w:t>
            </w:r>
          </w:p>
        </w:tc>
        <w:tc>
          <w:tcPr>
            <w:tcW w:type="dxa" w:w="1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/>
                <w:bCs/>
                <w:color w:val="2A0099"/>
                <w:sz w:val="19"/>
                <w:szCs w:val="19"/>
              </w:rPr>
              <w:t xml:space="preserve">Podsumowanie i meta-refleksja</w:t>
            </w:r>
          </w:p>
        </w:tc>
        <w:tc>
          <w:tcPr>
            <w:tcW w:type="dxa" w:w="37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19"/>
                <w:szCs w:val="19"/>
              </w:rPr>
              <w:t xml:space="preserve">Nauczyciel odczytuje kilka odpowiedzi z Padlet. Rundka: „Czego się dziś nauczyłem o argumento-waniu?” Dziękuje obserwatorom. Zadanie domowe: [☑ UZUPEŁNIJ].</w:t>
            </w:r>
          </w:p>
        </w:tc>
        <w:tc>
          <w:tcPr>
            <w:tcW w:type="dxa" w:w="2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00"/>
              <w:bottom w:type="dxa" w:w="70"/>
              <w:right w:type="dxa" w:w="80"/>
            </w:tcMar>
            <w:vAlign w:val="top"/>
          </w:tcPr>
          <w:p>
            <w:r>
              <w:rPr>
                <w:rFonts w:ascii="Arial" w:cs="Arial" w:eastAsia="Arial" w:hAnsi="Arial"/>
                <w:b w:val="false"/>
                <w:bCs w:val="false"/>
                <w:color w:val="444444"/>
                <w:sz w:val="19"/>
                <w:szCs w:val="19"/>
              </w:rPr>
              <w:t xml:space="preserve">Padlet
Rundka
Zamknięcie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DOSTOSOWANIA I INDYWIDUALIZACJA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C07000" w:sz="4"/>
              <w:left w:val="single" w:color="C07000" w:sz="16"/>
              <w:bottom w:val="single" w:color="C07000" w:sz="4"/>
              <w:right w:val="none" w:color="FFFFFF" w:sz="0"/>
            </w:tcBorders>
            <w:shd w:fill="FFFBD0" w:val="clear"/>
            <w:tcMar>
              <w:top w:type="dxa" w:w="100"/>
              <w:left w:type="dxa" w:w="180"/>
              <w:bottom w:type="dxa" w:w="80"/>
              <w:right w:type="dxa" w:w="14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Uczniowie z orzeczeniami: możliwość pracy w roli sędziego (mniejsza presja publiczna) lub przygotowania argumentacji pisemnej na karcie zamiast ustnie.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Uczniowie zdolni: rola „analizy meta” – obserwują i oceniają strategię retoryczną każdej ze stron.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Uczniowie nieaktywni: rolki sędziowskie dają alternatywną formę uczestnictwa bez konieczności wystąpienia publicznego.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EWALUACJA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Jakość argumentów na kartach pracy (ocena nauczyciela po lekcji).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Odpowiedzi na Padlet – analiza jakości podsumowań uczniów.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Wyniki quizu Kahoot na starcie – porównanie z kolejną lekcją.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Protokół omówienia z obserwatorami.</w:t>
      </w:r>
    </w:p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LITERATURA I PODSTAWA METODYCZNA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Rozporządzenie MEN z 6 września 2022 r. (Dz.U. poz. 1914) – §7 ust. 3 pkt 2 i 3.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G. Petty, „Nowoczesne nauczanie” – rozdział o dyskusji jako metodzie aktywizującej.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D. Lemov, „Nauczać jak mistrz” – techniki dyskusji w klasie.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Szkolny Program Wychowawczo-Profilaktyczny [☑ NAZWA SZKOŁY, ROK SZKOLNY].</w:t>
      </w:r>
    </w:p>
    <w:p>
      <w:pPr>
        <w:spacing w:after="10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4"/>
        <w:gridCol w:w="4514"/>
      </w:tblGrid>
      <w:tr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Podpis nauczyciela]</w:t>
            </w:r>
          </w:p>
        </w:tc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Podpis dyrektora]</w:t>
            </w:r>
          </w:p>
        </w:tc>
      </w:tr>
    </w:tbl>
    <w:p>
      <w:pPr>
        <w:sectPr>
          <w:headerReference w:type="default" r:id="rId7"/>
          <w:footerReference w:type="default" r:id="rId8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20"/>
        <w:gridCol w:w="8309"/>
      </w:tblGrid>
      <w:tr>
        <w:tc>
          <w:tcPr>
            <w:tcW w:type="dxa" w:w="7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O</w:t>
            </w:r>
          </w:p>
        </w:tc>
        <w:tc>
          <w:tcPr>
            <w:tcW w:type="dxa" w:w="830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ARKUSZ OBSERWACJI ZAJĘĆ OTWARTYCH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Nauczyciel przedmiotowy – do wypełnienia przez obserwatora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C07000" w:sz="4"/>
              <w:left w:val="single" w:color="C07000" w:sz="16"/>
              <w:bottom w:val="single" w:color="C07000" w:sz="4"/>
              <w:right w:val="none" w:color="FFFFFF" w:sz="0"/>
            </w:tcBorders>
            <w:shd w:fill="FFFBD0" w:val="clear"/>
            <w:tcMar>
              <w:top w:type="dxa" w:w="100"/>
              <w:left w:type="dxa" w:w="180"/>
              <w:bottom w:type="dxa" w:w="80"/>
              <w:right w:type="dxa" w:w="140"/>
            </w:tcMar>
          </w:tcPr>
          <w:p>
            <w:pPr>
              <w:spacing w:after="6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44444"/>
                <w:sz w:val="19"/>
                <w:szCs w:val="19"/>
              </w:rPr>
              <w:t xml:space="preserve">Cel obserwacji: Zapoznanie się z praktycznym zastosowaniem dyskusji oksfordzkiej i narzędzi TIK w nauczaniu przedmiotowym. Arkusz służy jako źródło informacji zwrotnej i dokumentacja WDN.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Obserwator: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IMIĘ NAZWISKO, stanowisko]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Nauczyciel prowadzący: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IMIĘ NAZWISKO]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Przedmiot: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Temat: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TEMAT + dyskusja oksfordzka]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Klasa: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Data: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DD.MM.RRRR]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CZĘŚĆ I – KRYTERIA OBSERWACJI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0"/>
        <w:gridCol w:w="4229"/>
      </w:tblGrid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KRYTERIUM OBSERWACJI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OCENA</w:t>
            </w:r>
          </w:p>
        </w:tc>
      </w:tr>
      <w:tr>
        <w:tc>
          <w:tcPr>
            <w:tcW w:type="dxa" w:w="9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450E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A. CEL I STRUKTURA ZAJĘĆ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Cel zajęć był jasno określony i widoczny w przebiegu lekcji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Struktura dyskusji oksfordzkiej była zrozumiała dla uczniów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Nauczyciel efektywnie zarządzał czasem poszczególnych etapów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9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450E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B. METODY AKTYWIZUJĄCE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Dyskusja oksfordzka skutecznie aktywizowała uczniów do myślenia krytycznego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Uczniowie budowali argumenty w strukturze TEZA→PRZYKŁAD→WNIOSEK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Role (twierdzacy/przeczycy/sędziowie) były właściwie rozdysponowane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Metoda odwróconej klasy (Padlet) podnosiła gotowość uczniów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9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450E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C. NARZĘDZIA TIK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Kahoot skutecznie diagnozował stan wiedzy na początku lekcji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TIK wspierał cel dydaktyczny, a nie był celem samym w sobie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Narzędzia cyfrowe były dostępne dla wszystkich uczniów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9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450E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D. RELACJA NAUCZYCIEL – UCZEŃ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Nauczyciel moderował dyskusję bez narzucania własnych poglądów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Atmosfera sprzyjała odważnemu wyrażaniu opinii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Nauczyciel reagował na trudności i aktywizował uczniów biernych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9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450E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E. EWALUACJA I REFLEKSJA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Zajęcia zawierały element meta-refleksji uczniów (Padlet/rundka)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  <w:tr>
        <w:tc>
          <w:tcPr>
            <w:tcW w:type="dxa" w:w="4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FFF" w:val="clear"/>
            <w:tcMar>
              <w:top w:type="dxa" w:w="70"/>
              <w:left w:type="dxa" w:w="120"/>
              <w:bottom w:type="dxa" w:w="70"/>
              <w:right w:type="dxa" w:w="80"/>
            </w:tcMar>
          </w:tcPr>
          <w:p>
            <w:r>
              <w:rPr>
                <w:rFonts w:ascii="Arial" w:cs="Arial" w:eastAsia="Arial" w:hAnsi="Arial"/>
                <w:color w:val="1A1A1A"/>
                <w:sz w:val="19"/>
                <w:szCs w:val="19"/>
              </w:rPr>
              <w:t xml:space="preserve">Wnioski z dyskusji były osadzone w merytorycznym kontekście przedmiotowym</w:t>
            </w:r>
          </w:p>
        </w:tc>
        <w:tc>
          <w:tcPr>
            <w:tcW w:type="dxa" w:w="42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80"/>
              <w:bottom w:type="dxa" w:w="70"/>
              <w:right w:type="dxa" w:w="80"/>
            </w:tcMar>
          </w:tcPr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Tak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Częściowo</w:t>
            </w:r>
          </w:p>
          <w:p>
            <w:pPr>
              <w:spacing w:after="20" w:before="20"/>
            </w:pPr>
            <w:r>
              <w:rPr>
                <w:rFonts w:ascii="Arial" w:cs="Arial" w:eastAsia="Arial" w:hAnsi="Arial"/>
                <w:color w:val="444444"/>
                <w:sz w:val="18"/>
                <w:szCs w:val="18"/>
              </w:rPr>
              <w:t xml:space="preserve">□ Nie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CZĘŚĆ II – OBSERWACJE JAKOŚCIOWE</w:t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005C3A"/>
          <w:sz w:val="19"/>
          <w:szCs w:val="19"/>
        </w:rPr>
        <w:t xml:space="preserve">Mocne strony zajęć (konkretne przykłady):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7D4A00"/>
          <w:sz w:val="19"/>
          <w:szCs w:val="19"/>
        </w:rPr>
        <w:t xml:space="preserve">Pytania i propozycje do omówienia: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Co zamierzam wdrożyć we własnych lekcjach: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CZĘŚĆ III – OCENA OGÓLNA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57"/>
        <w:gridCol w:w="2257"/>
        <w:gridCol w:w="2257"/>
        <w:gridCol w:w="2257"/>
      </w:tblGrid>
      <w:tr>
        <w:tc>
          <w:tcPr>
            <w:tcW w:type="dxa" w:w="2257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D6F5EB" w:val="clear"/>
            <w:tcMar>
              <w:top w:type="dxa" w:w="80"/>
              <w:left w:type="dxa" w:w="80"/>
              <w:bottom w:type="dxa" w:w="80"/>
              <w:right w:type="dxa" w:w="60"/>
            </w:tcMar>
          </w:tcPr>
          <w:p>
            <w:pPr>
              <w:spacing w:after="20" w:before="0"/>
              <w:jc w:val="center"/>
            </w:pPr>
            <w:r>
              <w:rPr>
                <w:rFonts w:ascii="Arial" w:cs="Arial" w:eastAsia="Arial" w:hAnsi="Arial"/>
                <w:color w:val="005C3A"/>
                <w:sz w:val="28"/>
                <w:szCs w:val="28"/>
              </w:rPr>
              <w:t xml:space="preserve">□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5C3A"/>
                <w:sz w:val="17"/>
                <w:szCs w:val="17"/>
              </w:rPr>
              <w:t xml:space="preserve">POZIOM WYSOKI
(zajęcia modelowe)</w:t>
            </w:r>
          </w:p>
        </w:tc>
        <w:tc>
          <w:tcPr>
            <w:tcW w:type="dxa" w:w="2257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9F7EF" w:val="clear"/>
            <w:tcMar>
              <w:top w:type="dxa" w:w="80"/>
              <w:left w:type="dxa" w:w="80"/>
              <w:bottom w:type="dxa" w:w="80"/>
              <w:right w:type="dxa" w:w="60"/>
            </w:tcMar>
          </w:tcPr>
          <w:p>
            <w:pPr>
              <w:spacing w:after="20" w:before="0"/>
              <w:jc w:val="center"/>
            </w:pPr>
            <w:r>
              <w:rPr>
                <w:rFonts w:ascii="Arial" w:cs="Arial" w:eastAsia="Arial" w:hAnsi="Arial"/>
                <w:color w:val="005C3A"/>
                <w:sz w:val="28"/>
                <w:szCs w:val="28"/>
              </w:rPr>
              <w:t xml:space="preserve">□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5C3A"/>
                <w:sz w:val="17"/>
                <w:szCs w:val="17"/>
              </w:rPr>
              <w:t xml:space="preserve">POZIOM DOBRY
(drobne uwagi)</w:t>
            </w:r>
          </w:p>
        </w:tc>
        <w:tc>
          <w:tcPr>
            <w:tcW w:type="dxa" w:w="2257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BD0" w:val="clear"/>
            <w:tcMar>
              <w:top w:type="dxa" w:w="80"/>
              <w:left w:type="dxa" w:w="80"/>
              <w:bottom w:type="dxa" w:w="80"/>
              <w:right w:type="dxa" w:w="60"/>
            </w:tcMar>
          </w:tcPr>
          <w:p>
            <w:pPr>
              <w:spacing w:after="20" w:before="0"/>
              <w:jc w:val="center"/>
            </w:pPr>
            <w:r>
              <w:rPr>
                <w:rFonts w:ascii="Arial" w:cs="Arial" w:eastAsia="Arial" w:hAnsi="Arial"/>
                <w:color w:val="7D4A00"/>
                <w:sz w:val="28"/>
                <w:szCs w:val="28"/>
              </w:rPr>
              <w:t xml:space="preserve">□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7D4A00"/>
                <w:sz w:val="17"/>
                <w:szCs w:val="17"/>
              </w:rPr>
              <w:t xml:space="preserve">WYMAGA ROZWOJU
(kilka obszarów)</w:t>
            </w:r>
          </w:p>
        </w:tc>
        <w:tc>
          <w:tcPr>
            <w:tcW w:type="dxa" w:w="2257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EF3E2" w:val="clear"/>
            <w:tcMar>
              <w:top w:type="dxa" w:w="80"/>
              <w:left w:type="dxa" w:w="80"/>
              <w:bottom w:type="dxa" w:w="80"/>
              <w:right w:type="dxa" w:w="60"/>
            </w:tcMar>
          </w:tcPr>
          <w:p>
            <w:pPr>
              <w:spacing w:after="20" w:before="0"/>
              <w:jc w:val="center"/>
            </w:pPr>
            <w:r>
              <w:rPr>
                <w:rFonts w:ascii="Arial" w:cs="Arial" w:eastAsia="Arial" w:hAnsi="Arial"/>
                <w:color w:val="7D4A00"/>
                <w:sz w:val="28"/>
                <w:szCs w:val="28"/>
              </w:rPr>
              <w:t xml:space="preserve">□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7D4A00"/>
                <w:sz w:val="17"/>
                <w:szCs w:val="17"/>
              </w:rPr>
              <w:t xml:space="preserve">DO OMÓWIENIA
(istotne kwestie)</w:t>
            </w:r>
          </w:p>
        </w:tc>
      </w:tr>
    </w:tbl>
    <w:p>
      <w:pPr>
        <w:spacing w:after="10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4"/>
        <w:gridCol w:w="4514"/>
      </w:tblGrid>
      <w:tr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Podpis obserwatora]</w:t>
            </w:r>
          </w:p>
        </w:tc>
        <w:tc>
          <w:tcPr>
            <w:tcW w:type="dxa" w:w="45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Data]</w:t>
            </w:r>
          </w:p>
        </w:tc>
      </w:tr>
    </w:tbl>
    <w:p>
      <w:pPr>
        <w:sectPr>
          <w:headerReference w:type="default" r:id="rId9"/>
          <w:footerReference w:type="default" r:id="rId10"/>
          <w:pgSz w:w="11909" w:h="16834" w:orient="portrait"/>
          <w:pgMar w:top="1440" w:right="1440" w:bottom="1440" w:left="1440" w:header="720" w:footer="720" w:gutter="0"/>
          <w:pgNumType/>
          <w:docGrid w:linePitch="360"/>
        </w:sectPr>
      </w:pP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20"/>
        <w:gridCol w:w="8309"/>
      </w:tblGrid>
      <w:tr>
        <w:tc>
          <w:tcPr>
            <w:tcW w:type="dxa" w:w="7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40"/>
              <w:left w:type="dxa" w:w="60"/>
              <w:bottom w:type="dxa" w:w="14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10D"/>
                <w:sz w:val="44"/>
                <w:szCs w:val="44"/>
              </w:rPr>
              <w:t xml:space="preserve">P</w:t>
            </w:r>
          </w:p>
        </w:tc>
        <w:tc>
          <w:tcPr>
            <w:tcW w:type="dxa" w:w="830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450EFF" w:val="clear"/>
            <w:tcMar>
              <w:top w:type="dxa" w:w="120"/>
              <w:left w:type="dxa" w:w="160"/>
              <w:bottom w:type="dxa" w:w="120"/>
              <w:right w:type="dxa" w:w="80"/>
            </w:tcMar>
            <w:vAlign w:val="center"/>
          </w:tcPr>
          <w:p>
            <w:pPr>
              <w:spacing w:after="36"/>
            </w:pP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PROTOKÓŁ OMÓWIENIA ZAJĘĆ OTWARTYCH</w:t>
            </w:r>
          </w:p>
          <w:p>
            <w:r>
              <w:rPr>
                <w:rFonts w:ascii="Arial" w:cs="Arial" w:eastAsia="Arial" w:hAnsi="Arial"/>
                <w:i/>
                <w:iCs/>
                <w:color w:val="9EE6CB"/>
                <w:sz w:val="17"/>
                <w:szCs w:val="17"/>
              </w:rPr>
              <w:t xml:space="preserve">nauczyciel przedmiotowy – wymaganie §7 ust. 3 pkt 2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450EFF" w:sz="4"/>
              <w:left w:val="single" w:color="450EFF" w:sz="16"/>
              <w:bottom w:val="single" w:color="450EFF" w:sz="4"/>
              <w:right w:val="none" w:color="FFFFFF" w:sz="0"/>
            </w:tcBorders>
            <w:shd w:fill="EAE6FF" w:val="clear"/>
            <w:tcMar>
              <w:top w:type="dxa" w:w="100"/>
              <w:left w:type="dxa" w:w="180"/>
              <w:bottom w:type="dxa" w:w="80"/>
              <w:right w:type="dxa" w:w="140"/>
            </w:tcMar>
          </w:tcPr>
          <w:p>
            <w:pPr>
              <w:spacing w:after="6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2A0099"/>
                <w:sz w:val="19"/>
                <w:szCs w:val="19"/>
              </w:rPr>
              <w:t xml:space="preserve">Omówienie zajęć otwartych jest obowiązkowym elementem procesu dzielenia się wiedzą i stanowi dowód realizacji wymagania awansowego. Protokół podpisują wszyscy uczestnicy omówienia.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6629"/>
      </w:tblGrid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Nauczyciel prowadzący: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IMIĘ NAZWISKO]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Przedmiot: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Temat zajęć: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TEMAT] – dyskusja oksfordzka i narzędzia TIK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Data zajęć: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DD.MM.RRRR]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Data omówienia: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DD.MM.RRRR]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Uczestnicy omówienia: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LISTA IMION I NAZWISK OBSERWATORÓW]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Prowadzący omówienie: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IMIĘ NAZWISKO – nauczyciel prowadzący]</w:t>
            </w:r>
          </w:p>
        </w:tc>
      </w:tr>
      <w:tr>
        <w:trPr>
          <w:trHeight w:val="400"/>
        </w:trPr>
        <w:tc>
          <w:tcPr>
            <w:tcW w:type="dxa" w:w="24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b/>
                <w:bCs/>
                <w:color w:val="450EFF"/>
                <w:sz w:val="19"/>
                <w:szCs w:val="19"/>
              </w:rPr>
              <w:t xml:space="preserve">Miejsce:</w:t>
            </w:r>
          </w:p>
        </w:tc>
        <w:tc>
          <w:tcPr>
            <w:tcW w:type="dxa" w:w="66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Arial" w:cs="Arial" w:eastAsia="Arial" w:hAnsi="Arial"/>
                <w:i/>
                <w:iCs/>
                <w:color w:val="444444"/>
                <w:sz w:val="19"/>
                <w:szCs w:val="19"/>
              </w:rPr>
              <w:t xml:space="preserve">[☑ UZUPEŁNIJ]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PRZEBIEG OMÓWIENIA</w:t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1. Autoprezentacja nauczyciela prowadzącego (5 min)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Realizacja celów – co zostało osiągnięte, co wymaga kontynuacji.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Wybrane metody i ich skuteczność w tej grupie.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Moment, który wypadł inaczej niż planowano – i przyczyna.</w:t>
      </w:r>
    </w:p>
    <w:p>
      <w:pPr>
        <w:spacing w:after="10" w:before="20"/>
        <w:jc w:val="left"/>
      </w:pPr>
      <w:r>
        <w:rPr>
          <w:rFonts w:ascii="Arial" w:cs="Arial" w:eastAsia="Arial" w:hAnsi="Arial"/>
          <w:b w:val="false"/>
          <w:bCs w:val="false"/>
          <w:i/>
          <w:iCs/>
          <w:color w:val="444444"/>
          <w:sz w:val="19"/>
          <w:szCs w:val="19"/>
        </w:rPr>
        <w:t xml:space="preserve">Treść autoprezentacji (notatka):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2. Informacja zwrotna od obserwatorów (10–15 min)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7029"/>
      </w:tblGrid>
      <w:tr>
        <w:tc>
          <w:tcPr>
            <w:tcW w:type="dxa" w:w="2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D6F5EB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5C3A"/>
                <w:sz w:val="18"/>
                <w:szCs w:val="18"/>
              </w:rPr>
              <w:t xml:space="preserve">MOCNE
STRONY</w:t>
            </w:r>
          </w:p>
        </w:tc>
        <w:tc>
          <w:tcPr>
            <w:tcW w:type="dxa" w:w="7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type="dxa" w:w="2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FFBD0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7D4A00"/>
                <w:sz w:val="18"/>
                <w:szCs w:val="18"/>
              </w:rPr>
              <w:t xml:space="preserve">PYTANIA
DO REFLEKSJI</w:t>
            </w:r>
          </w:p>
        </w:tc>
        <w:tc>
          <w:tcPr>
            <w:tcW w:type="dxa" w:w="7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type="dxa" w:w="20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AE6FF" w:val="clear"/>
            <w:tcMar>
              <w:top w:type="dxa" w:w="70"/>
              <w:left w:type="dxa" w:w="100"/>
              <w:bottom w:type="dxa" w:w="70"/>
              <w:right w:type="dxa" w:w="8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450EFF"/>
                <w:sz w:val="18"/>
                <w:szCs w:val="18"/>
              </w:rPr>
              <w:t xml:space="preserve">PROPOZYCJE
I WNIOSKI</w:t>
            </w:r>
          </w:p>
        </w:tc>
        <w:tc>
          <w:tcPr>
            <w:tcW w:type="dxa" w:w="70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70"/>
              <w:left w:type="dxa" w:w="100"/>
              <w:bottom w:type="dxa" w:w="70"/>
              <w:right w:type="dxa" w:w="80"/>
            </w:tcMar>
          </w:tcPr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pBdr>
                <w:bottom w:val="single" w:color="CCCCCC" w:sz="2" w:space="2"/>
              </w:pBdr>
              <w:spacing w:after="8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</w:tc>
      </w:tr>
    </w:tbl>
    <w:p>
      <w:pPr>
        <w:spacing w:after="4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450EFF"/>
          <w:sz w:val="19"/>
          <w:szCs w:val="19"/>
        </w:rPr>
        <w:t xml:space="preserve">3. Odpowiedź nauczyciela na informację zwrotną (5 min)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pBdr>
          <w:bottom w:val="single" w:color="CCCCCC" w:sz="2" w:space="2"/>
        </w:pBdr>
        <w:spacing w:after="80"/>
      </w:pPr>
      <w:r>
        <w:rPr>
          <w:rFonts w:ascii="Arial" w:cs="Arial" w:eastAsia="Arial" w:hAnsi="Arial"/>
          <w:sz w:val="22"/>
          <w:szCs w:val="22"/>
        </w:rPr>
        <w:t xml:space="preserve"> </w:t>
      </w:r>
    </w:p>
    <w:p>
      <w:pPr>
        <w:spacing w:after="40" w:before="0"/>
      </w:pPr>
      <w:r>
        <w:t xml:space="preserve"/>
      </w:r>
    </w:p>
    <w:p>
      <w:pPr>
        <w:pBdr>
          <w:left w:val="single" w:color="450EFF" w:sz="18"/>
        </w:pBdr>
        <w:shd w:fill="EAE6FF" w:val="clear"/>
        <w:spacing w:after="50" w:before="160"/>
        <w:ind w:left="80"/>
      </w:pPr>
      <w:r>
        <w:rPr>
          <w:rFonts w:ascii="Arial" w:cs="Arial" w:eastAsia="Arial" w:hAnsi="Arial"/>
          <w:b/>
          <w:bCs/>
          <w:color w:val="450EFF"/>
          <w:sz w:val="20"/>
          <w:szCs w:val="20"/>
        </w:rPr>
        <w:t xml:space="preserve">  WNIOSKI I DEKLARACJE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450EFF" w:sz="4"/>
              <w:left w:val="single" w:color="450EFF" w:sz="16"/>
              <w:bottom w:val="single" w:color="450EFF" w:sz="4"/>
              <w:right w:val="none" w:color="FFFFFF" w:sz="0"/>
            </w:tcBorders>
            <w:shd w:fill="EAE6FF" w:val="clear"/>
            <w:tcMar>
              <w:top w:type="dxa" w:w="100"/>
              <w:left w:type="dxa" w:w="180"/>
              <w:bottom w:type="dxa" w:w="80"/>
              <w:right w:type="dxa" w:w="140"/>
            </w:tcMar>
          </w:tcPr>
          <w:p>
            <w:pPr>
              <w:spacing w:after="20" w:before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450EFF"/>
                <w:sz w:val="19"/>
                <w:szCs w:val="19"/>
              </w:rPr>
              <w:t xml:space="preserve">Nauczyciel prowadzący wdroży w praktyce: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[☑ UZUPEŁNIJ: konkretna zmiana wynikająca z omówienia]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 w:before="3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[☑ UZUPEŁNIJ: co przekazuje innym nauczycielom]</w:t>
            </w:r>
          </w:p>
        </w:tc>
      </w:tr>
    </w:tbl>
    <w:p>
      <w:pPr>
        <w:spacing w:after="40" w:before="0"/>
      </w:pPr>
      <w:r>
        <w:t xml:space="preserve"/>
      </w:r>
    </w:p>
    <w:p>
      <w:pPr>
        <w:spacing w:after="20" w:before="0"/>
        <w:jc w:val="left"/>
      </w:pPr>
      <w:r>
        <w:rPr>
          <w:rFonts w:ascii="Arial" w:cs="Arial" w:eastAsia="Arial" w:hAnsi="Arial"/>
          <w:b/>
          <w:bCs/>
          <w:i w:val="false"/>
          <w:iCs w:val="false"/>
          <w:color w:val="005C3A"/>
          <w:sz w:val="19"/>
          <w:szCs w:val="19"/>
        </w:rPr>
        <w:t xml:space="preserve">Obserwatorzy deklarują zastosowanie własnej pracy:</w:t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6429"/>
      </w:tblGrid>
      <w:tr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Imię i nazwisko</w:t>
            </w:r>
          </w:p>
        </w:tc>
        <w:tc>
          <w:tcPr>
            <w:tcW w:type="dxa" w:w="64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2A0099" w:val="clear"/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Co zamierza wdrożyć / jak skorzysta z obserwacji</w:t>
            </w:r>
          </w:p>
        </w:tc>
      </w:tr>
      <w:tr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  <w:tc>
          <w:tcPr>
            <w:tcW w:type="dxa" w:w="64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  <w:tc>
          <w:tcPr>
            <w:tcW w:type="dxa" w:w="64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  <w:tc>
          <w:tcPr>
            <w:tcW w:type="dxa" w:w="64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26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  <w:tc>
          <w:tcPr>
            <w:tcW w:type="dxa" w:w="6429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tcMar>
              <w:top w:type="dxa" w:w="60"/>
              <w:left w:type="dxa" w:w="100"/>
              <w:bottom w:type="dxa" w:w="60"/>
              <w:right w:type="dxa" w:w="80"/>
            </w:tcMar>
          </w:tcPr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 </w:t>
            </w:r>
          </w:p>
        </w:tc>
      </w:tr>
    </w:tbl>
    <w:p>
      <w:pPr>
        <w:spacing w:after="6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9"/>
      </w:tblGrid>
      <w:tr>
        <w:tc>
          <w:tcPr>
            <w:tcBorders>
              <w:top w:val="single" w:color="450EFF" w:sz="4"/>
              <w:left w:val="single" w:color="450EFF" w:sz="16"/>
              <w:bottom w:val="single" w:color="450EFF" w:sz="4"/>
              <w:right w:val="none" w:color="FFFFFF" w:sz="0"/>
            </w:tcBorders>
            <w:shd w:fill="EAE6FF" w:val="clear"/>
            <w:tcMar>
              <w:top w:type="dxa" w:w="100"/>
              <w:left w:type="dxa" w:w="180"/>
              <w:bottom w:type="dxa" w:w="80"/>
              <w:right w:type="dxa" w:w="140"/>
            </w:tcMar>
          </w:tcPr>
          <w:p>
            <w:pPr>
              <w:spacing w:after="60" w:before="0"/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444444"/>
                <w:sz w:val="19"/>
                <w:szCs w:val="19"/>
              </w:rPr>
              <w:t xml:space="preserve">Niniejszy protokół potwierdza realizację wymagania §7 ust. 3 pkt 2 Rozporządzenia MEN z dnia 6 września 2022 r. (Dz.U. poz. 1914).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9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57"/>
        <w:gridCol w:w="2257"/>
        <w:gridCol w:w="2257"/>
        <w:gridCol w:w="2257"/>
      </w:tblGrid>
      <w:tr>
        <w:tc>
          <w:tcPr>
            <w:tcW w:type="dxa" w:w="225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Nauczyciel prowadzący</w:t>
            </w:r>
          </w:p>
        </w:tc>
        <w:tc>
          <w:tcPr>
            <w:tcW w:type="dxa" w:w="225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Obserwator 1]</w:t>
            </w:r>
          </w:p>
        </w:tc>
        <w:tc>
          <w:tcPr>
            <w:tcW w:type="dxa" w:w="225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Obserwator 2]</w:t>
            </w:r>
          </w:p>
        </w:tc>
        <w:tc>
          <w:tcPr>
            <w:tcW w:type="dxa" w:w="225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0"/>
              <w:bottom w:type="dxa" w:w="0"/>
              <w:right w:type="dxa" w:w="20"/>
            </w:tcMar>
          </w:tcPr>
          <w:p>
            <w:pPr>
              <w:pBdr>
                <w:bottom w:val="single" w:color="CCCCCC" w:sz="2" w:space="2"/>
              </w:pBdr>
              <w:spacing w:after="20" w:before="60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i/>
                <w:iCs/>
                <w:color w:val="888888"/>
                <w:sz w:val="17"/>
                <w:szCs w:val="17"/>
              </w:rPr>
              <w:t xml:space="preserve">[☑ Dyrektor szkoły]</w:t>
            </w:r>
          </w:p>
        </w:tc>
      </w:tr>
    </w:tbl>
    <w:sectPr>
      <w:headerReference w:type="default" r:id="rId11"/>
      <w:footerReference w:type="default" r:id="rId12"/>
      <w:pgSz w:w="11909" w:h="16834" w:orient="portrait"/>
      <w:pgMar w:top="1440" w:right="1440" w:bottom="1440" w:left="1440" w:header="720" w:footer="72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before="0"/>
    </w:pPr>
    <w:r>
      <w:drawing>
        <wp:inline distT="0" distB="0" distL="0" distR="0">
          <wp:extent cx="4543425" cy="3143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drawing>
        <wp:inline distT="0" distB="0" distL="0" distR="0">
          <wp:extent cx="4543425" cy="466725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40" w:hanging="280"/>
      </w:pPr>
      <w:rPr>
        <w:rFonts w:ascii="Arial" w:cs="Arial" w:eastAsia="Arial" w:hAnsi="Arial"/>
        <w:sz w:val="20"/>
        <w:szCs w:val="20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2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er3.xml.rels><?xml version="1.0" encoding="UTF-8"?><Relationships xmlns="http://schemas.openxmlformats.org/package/2006/relationships"><Relationship Id="rId0" Type="http://schemas.openxmlformats.org/officeDocument/2006/relationships/image" Target="media/ed92750e478ec5785af50e7d52ce52d63f2d2e6e.png"/></Relationships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2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word/_rels/header3.xml.rels><?xml version="1.0" encoding="UTF-8"?><Relationships xmlns="http://schemas.openxmlformats.org/package/2006/relationships"><Relationship Id="rId0" Type="http://schemas.openxmlformats.org/officeDocument/2006/relationships/image" Target="media/dcb67a09f6fe95f282c0a941a3b209a984601190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2026-05-25T18:07:38.608Z</dcterms:created>
  <dcterms:modified xsi:type="dcterms:W3CDTF">2026-05-25T18:07:38.608Z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