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 w:before="0"/>
      </w:pPr>
      <w:r>
        <w:t xml:space="preserve"/>
      </w:r>
    </w:p>
    <w:p>
      <w:pPr>
        <w:spacing w:after="30" w:before="0"/>
        <w:jc w:val="center"/>
      </w:pPr>
      <w:r>
        <w:rPr>
          <w:rFonts w:ascii="Calibri" w:cs="Calibri" w:eastAsia="Calibri" w:hAnsi="Calibri"/>
          <w:b/>
          <w:bCs/>
          <w:color w:val="1A3A6B"/>
          <w:sz w:val="32"/>
          <w:szCs w:val="32"/>
        </w:rPr>
        <w:t xml:space="preserve">OPIS I ANALIZA</w:t>
      </w:r>
    </w:p>
    <w:p>
      <w:pPr>
        <w:spacing w:after="30" w:before="0"/>
        <w:jc w:val="center"/>
      </w:pPr>
      <w:r>
        <w:rPr>
          <w:rFonts w:ascii="Calibri" w:cs="Calibri" w:eastAsia="Calibri" w:hAnsi="Calibri"/>
          <w:b/>
          <w:bCs/>
          <w:color w:val="1A3A6B"/>
          <w:sz w:val="22"/>
          <w:szCs w:val="22"/>
        </w:rPr>
        <w:t xml:space="preserve">sposobu realizacji wymagań z § 7 ust. 3 Rozporządzenia MEN z dnia 6 września 2022 r.</w:t>
      </w:r>
    </w:p>
    <w:p>
      <w:pPr>
        <w:spacing w:after="20" w:before="0"/>
        <w:jc w:val="center"/>
      </w:pPr>
      <w:r>
        <w:rPr>
          <w:rFonts w:ascii="Calibri" w:cs="Calibri" w:eastAsia="Calibri" w:hAnsi="Calibri"/>
          <w:i/>
          <w:iCs/>
          <w:color w:val="888888"/>
          <w:sz w:val="20"/>
          <w:szCs w:val="20"/>
        </w:rPr>
        <w:t xml:space="preserve">wraz ze wskazaniem uzyskanych efektów – DOKUMENT MAX 4 STRONY A4</w:t>
      </w:r>
    </w:p>
    <w:p>
      <w:pPr>
        <w:spacing w:after="60" w:before="0"/>
      </w:pPr>
      <w:r>
        <w:t xml:space="preserve"/>
      </w:r>
    </w:p>
    <w:p>
      <w:pPr>
        <w:shd w:fill="2E5FA3" w:val="clear"/>
        <w:spacing w:after="20" w:before="0"/>
        <w:jc w:val="center"/>
      </w:pPr>
      <w:r>
        <w:rPr>
          <w:rFonts w:ascii="Calibri" w:cs="Calibri" w:eastAsia="Calibri" w:hAnsi="Calibri"/>
          <w:b/>
          <w:bCs/>
          <w:color w:val="FFFFFF"/>
          <w:sz w:val="24"/>
          <w:szCs w:val="24"/>
        </w:rPr>
        <w:t xml:space="preserve">NAUCZYCIEL JĘZYKA POLSKIEGO</w:t>
      </w:r>
    </w:p>
    <w:p>
      <w:pPr>
        <w:spacing w:after="8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6226"/>
      </w:tblGrid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Imię i nazwisko: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[☑ IMIĘ NAZWISKO]</w:t>
            </w:r>
          </w:p>
        </w:tc>
      </w:tr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Stanowisko: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nauczyciel języka polskiego</w:t>
            </w:r>
          </w:p>
        </w:tc>
      </w:tr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Szkoła: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[☑ PEŁNA NAZWA SZKOŁY]</w:t>
            </w:r>
          </w:p>
        </w:tc>
      </w:tr>
      <w:tr>
        <w:trPr>
          <w:trHeight w:val="400"/>
        </w:trPr>
        <w:tc>
          <w:tcPr>
            <w:tcW w:type="dxa" w:w="2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EEF2FB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color w:val="1A3A6B"/>
                <w:sz w:val="21"/>
                <w:szCs w:val="21"/>
              </w:rPr>
              <w:t xml:space="preserve">Miejscowość i data:</w:t>
            </w:r>
          </w:p>
        </w:tc>
        <w:tc>
          <w:tcPr>
            <w:tcW w:type="dxa" w:w="6226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5F5F5" w:val="clear"/>
            <w:tcMar>
              <w:top w:type="dxa" w:w="70"/>
              <w:left w:type="dxa" w:w="140"/>
              <w:bottom w:type="dxa" w:w="70"/>
              <w:right w:type="dxa" w:w="80"/>
            </w:tcMar>
            <w:vAlign w:val="center"/>
          </w:tcPr>
          <w:p>
            <w:r>
              <w:rPr>
                <w:rFonts w:ascii="Calibri" w:cs="Calibri" w:eastAsia="Calibri" w:hAnsi="Calibri"/>
                <w:i/>
                <w:iCs/>
                <w:color w:val="888888"/>
                <w:sz w:val="21"/>
                <w:szCs w:val="21"/>
              </w:rPr>
              <w:t xml:space="preserve">[☑ MIEJSCOWOŚĆ, DD.MM.RRRR]</w:t>
            </w:r>
          </w:p>
        </w:tc>
      </w:tr>
    </w:tbl>
    <w:p>
      <w:pPr>
        <w:spacing w:after="8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56"/>
        <w:gridCol w:w="2256"/>
        <w:gridCol w:w="2256"/>
        <w:gridCol w:w="2256"/>
      </w:tblGrid>
      <w:tr>
        <w:tc>
          <w:tcPr>
            <w:tcBorders>
              <w:top w:val="none"/>
              <w:left w:val="none"/>
              <w:bottom w:val="none"/>
              <w:right w:val="none"/>
            </w:tcBorders>
            <w:shd w:fill="E8EFFF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  OPIS – co zrobiłam/em</w:t>
            </w:r>
          </w:p>
        </w:tc>
        <w:tc>
          <w:tcPr>
            <w:tcBorders>
              <w:top w:val="none"/>
              <w:left w:val="none"/>
              <w:bottom w:val="none"/>
              <w:right w:val="none"/>
            </w:tcBorders>
            <w:shd w:fill="FFF8E1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C07000"/>
                <w:sz w:val="19"/>
                <w:szCs w:val="19"/>
              </w:rPr>
              <w:t xml:space="preserve">  ANALIZA – refleksja</w:t>
            </w:r>
          </w:p>
        </w:tc>
        <w:tc>
          <w:tcPr>
            <w:tcBorders>
              <w:top w:val="none"/>
              <w:left w:val="none"/>
              <w:bottom w:val="none"/>
              <w:right w:val="none"/>
            </w:tcBorders>
            <w:shd w:fill="ECFDF5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  EFEKTY – 3 perspektywy</w:t>
            </w:r>
          </w:p>
        </w:tc>
        <w:tc>
          <w:tcPr>
            <w:tcBorders>
              <w:top w:val="none"/>
              <w:left w:val="none"/>
              <w:bottom w:val="none"/>
              <w:right w:val="none"/>
            </w:tcBorders>
            <w:shd w:fill="F4ECF7" w:val="clear"/>
            <w:tcMar>
              <w:top w:type="dxa" w:w="60"/>
              <w:left w:type="dxa" w:w="80"/>
              <w:bottom w:type="dxa" w:w="60"/>
              <w:right w:type="dxa" w:w="6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5B2C8D"/>
                <w:sz w:val="19"/>
                <w:szCs w:val="19"/>
              </w:rPr>
              <w:t xml:space="preserve">  WNIOSKI – co dalej</w:t>
            </w:r>
          </w:p>
        </w:tc>
      </w:tr>
    </w:tbl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1.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Doskonalenie warsztatu pracy, w tym TIK, oraz pogłębianie wiedzy i umiejętności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Systematycznie rozwijam kompetencje zawodowe. Uczestniczyłam/uczestniczyłem w szkoleniach: „Analiza wyników egzaminu ósmoklasisty z języka polskiego – wnioski do praktyki” ([☑ ROK]), „Praca z tekstem argumentacyjnym – rozprawka i artykuł” ([☑ ROK]), „TIK na lekcjach humanistycznych – Genially, Canva” ([☑ ROK]), „AI w nauczaniu języka polskiego” ([☑ ROK]) oraz [☑ TWOJE SZKOLENIA].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Aktywnie uczestniczyłam/uczestniczyłem w pracach Zespołu Humanistycznego i pełniłam/pełniłem funkcję [☑ ROLA]. Regularnie korzystam z literatury metodycznej (Polonistyka, Język Polski w Szkole) i śledzę aktualizacje podstawy programowej.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Szkolenia z zakresu egzaminu ósmoklasisty przełożyły się bezpośrednio na jakość przygotowania uczniów – poprawiłam/poprawiłem precyzję instrukcji do ćwiczeń wypowiedzi pisemnych. Najtrudniejsze było wdrożenie TIK do lekcji gramatyki – wymagało to większego nakładu pracy na etapie przygotowania materiałów. Wniosek: inwestycja czasu się opłaciła, gdyż zaangażowanie uczniów wzrosło widocznie.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Uczniowie lepiej rozumieją oczekiwania egzaminacyjne i skuteczniej piszą teksty argumentacyjne.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Wyższa motywacja dzięki atrakcyjnym narzędziom dydaktycznym.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Wyższe wyniki egzaminacyjne szkoły w zakresie języka polskiego.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Posiadanie specjalisty aktualnego w zakresie metodyki nauczania.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Pogłębione kompetencje metodyczne i cyfrowe.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Wzrost pewności siebie w pracy z tekstami egzaminacyjnymi.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Wprowadzić systematyczną ewaluację postępów uczniów w pisaniu z wykorzystaniem narzędzi cyfrowych.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Rozszerzyć zakres stosowanych narzędzi o Quizlet i Genially.</w:t>
      </w:r>
    </w:p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2.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Umiejętność dzielenia się wiedzą i doświadczeniem z innymi nauczycielami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„Praca z tekstem argumentacyjnym – strategie przygotowania uczniów” ([☑ X] nauczycieli) oraz „Narzędzia cyfrowe w nauczaniu humanistycznym – Genially, Wordwall w praktyce” ([☑ X] uczestników).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Zajęcia otwarte: „Lektura inaczej – drama i dyskusja oksfordzka” (klasa [☑ X], obserwowało [☑ X] nauczycieli) i „Pisanie kreatywne przez modelowanie” (klasa [☑ X]). Na co dzień udostępniam scenariusze, testy i zestawienia kryteriów oceniania.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Szkolenie z TIK spotkało się z dużym zainteresowaniem – nauczyciele prosili o kolejne spotkania. Zajęcia otwarte pokazały, że drama możliwa jest również w klasach sprawiających trudności wychowawcze. Wyzwanie: część kolegów obawia się stosowania metod otwartych. Wniosek: warto pokazywać konkretne struktury działań, które dają nauczycielowi poczucie kontroli przy metodach aktywizujących.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Uczniowie korzystają z lekcji prowadzonych przez nauczycieli stosujących metody aktywizujące.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Wyższa spójność wymagań na przedmiotach humanistycznych.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Szybsze wdrażanie nowych nauczycieli w metody pracy szkoły.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Wzmocnienie pozycji lidera metodycznego.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Rozwój kompetencji trenerskich.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Stworzyć współdzieloną bazę gotowych scenariuszy na dysku szkolnym.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Zaproponować cykl wzajemnych obserwacji między polonistami.</w:t>
      </w:r>
    </w:p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3.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Umiejętność wykorzystywania metod aktywizujących i narzędzi TIK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Na lekcjach regularnie stosuję: dyskusję oksfordzką i debatę (argumentacja), dramę i odgrywanie ról postaci literackich, mapę myśli i drzewo decyzyjne (analiza tekstu), pisanie kreatywne przez modelowanie (etapowe tworzenie tekstu z informacją zwrotną) oraz metodę projektu. Opracowałam/opracowałem własne karty pracy, testy gramatyczne i zestawy ćwiczeń interpretacyjnych.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W zakresie TIK korzystam z: Genially i Canva (interaktywne prezentacje), Wordwall i Quizlet (utrwalanie słownictwa), Kahoot i Quizizz (motywacja, powtarzanie), Padlet (współpraca grupowa), ChatGPT (wspomaganie przygotowania materiałów) oraz e-podręcznik.pl i Ninateka.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Dyskusja oksfordzka i drama są najskuteczniejszymi metodami – po nich uczniowie potrafią samodzielnie budować argumenty, co bezpośrednio wpływa na jakość wypowiedzi pisemnych. Quizizz i Kahoot sprawdzają się do powtarzania materiału, lecz nie do nauki nowych treści. Wniosek: TIK musi być podporządkowane celowi lekcji, a nie odwrotnie – narzędzie nie zastąpi refleksji dydaktycznej.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Uczniowie aktywnie konstruują wiedzę zamiast ją biernie odbierać.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Wyższa jakość wypowiedzi pisemnych.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Wzrost motywacji dzięki elementom grywalizacji.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Nowoczesna i atrakcyjna oferta dydaktyczna.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Lepsza komunikacja z uczniami i rodzicami.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Sprawniejsze tworzenie materiałów dydaktycznych.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Pogłębienie kompetencji cyfrowych.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Wdrożyć regularne projekty czytelnicze z użyciem tablicy Padlet.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Wypracować wspólne kryteria oceniania wypowiedzi pisemnych razem z uczniami.</w:t>
      </w:r>
    </w:p>
    <w:p>
      <w:pPr>
        <w:spacing w:after="60" w:before="0"/>
      </w:pPr>
      <w:r>
        <w:t xml:space="preserve"/>
      </w:r>
    </w:p>
    <w:p>
      <w:pPr>
        <w:pBdr>
          <w:left w:val="single" w:color="FFF10D" w:sz="24"/>
        </w:pBdr>
        <w:shd w:fill="1A3A6B" w:val="clear"/>
        <w:spacing w:after="80" w:before="300"/>
      </w:pPr>
      <w:r>
        <w:rPr>
          <w:rFonts w:ascii="Calibri" w:cs="Calibri" w:eastAsia="Calibri" w:hAnsi="Calibri"/>
          <w:b/>
          <w:bCs/>
          <w:color w:val="FFF10D"/>
          <w:sz w:val="24"/>
          <w:szCs w:val="24"/>
        </w:rPr>
        <w:t xml:space="preserve"> 4a. </w:t>
      </w: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Wykonywanie zadań egzaminatora Okręgowej Komisji Egzaminacyjnej</w:t>
      </w:r>
    </w:p>
    <w:p>
      <w:pPr>
        <w:pBdr>
          <w:left w:val="single" w:color="2E5FA3" w:sz="12"/>
        </w:pBdr>
        <w:shd w:fill="E8EFFF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2E5FA3"/>
          <w:sz w:val="20"/>
          <w:szCs w:val="20"/>
        </w:rPr>
        <w:t xml:space="preserve"> OPIS DZIAŁAŃ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Od [☑ ROK] jestem egzaminatorem OKE w [☑ MIASTO] w zakresie [☑ egzaminu ósmoklasisty / matury z j. polskiego]. W ciągu [☑ OKRESU] oceniłam/oceniłem [☑ X] prac uczniów z całej Polski. Uczestniczyłam/uczestniczyłem w szkoleniach kalibracyjnych OKE i stosowałam/stosowałem jednolite kryteria oceniania.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222222"/>
          <w:sz w:val="22"/>
          <w:szCs w:val="22"/>
        </w:rPr>
        <w:t xml:space="preserve">Wiedzą zdobytą jako egzaminator dzieliłam/dzieliłem się z nauczycielami podczas szkoleń WDN i w codziennych konsultacjach.</w:t>
      </w:r>
    </w:p>
    <w:p>
      <w:pPr>
        <w:spacing w:after="40" w:before="0"/>
      </w:pPr>
      <w:r>
        <w:t xml:space="preserve"/>
      </w:r>
    </w:p>
    <w:p>
      <w:pPr>
        <w:pBdr>
          <w:left w:val="single" w:color="C07000" w:sz="12"/>
        </w:pBdr>
        <w:shd w:fill="FFF8E1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C07000"/>
          <w:sz w:val="20"/>
          <w:szCs w:val="20"/>
        </w:rPr>
        <w:t xml:space="preserve"> ANALIZA – co zadziałało, co było wyzwaniem, wnioski</w:t>
      </w:r>
    </w:p>
    <w:p>
      <w:pPr>
        <w:spacing w:after="40" w:before="40"/>
      </w:pPr>
      <w:r>
        <w:rPr>
          <w:rFonts w:ascii="Calibri" w:cs="Calibri" w:eastAsia="Calibri" w:hAnsi="Calibri"/>
          <w:b w:val="false"/>
          <w:bCs w:val="false"/>
          <w:color w:val="3D2B00"/>
          <w:sz w:val="22"/>
          <w:szCs w:val="22"/>
        </w:rPr>
        <w:t xml:space="preserve">Doświadczenie egzaminatora jest nieocenionym źródłem wiedzy praktycznej – analiza prac z całej Polski ujawniła wzorce najczęstszych błędów, które profilaktycznie adresuję na lekcjach. Zaobserwowałam/zaobserwowałem, że uczniowie ćwiczący ocenianie według kryteriów OKE (samoocena i ocena koleżeńska) piszą znacznie lepiej. Wniosek: transparentność kryteriów oceniania jest kluczem do podniesienia jakości prac uczniów.</w:t>
      </w:r>
    </w:p>
    <w:p>
      <w:pPr>
        <w:spacing w:after="40" w:before="0"/>
      </w:pPr>
      <w:r>
        <w:t xml:space="preserve"/>
      </w:r>
    </w:p>
    <w:p>
      <w:pPr>
        <w:pBdr>
          <w:left w:val="single" w:color="1A5C33" w:sz="12"/>
        </w:pBdr>
        <w:shd w:fill="ECFDF5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1A5C33"/>
          <w:sz w:val="20"/>
          <w:szCs w:val="20"/>
        </w:rPr>
        <w:t xml:space="preserve"> EFEKTY DZIAŁAŃ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9F7EF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1A5C33"/>
                <w:sz w:val="19"/>
                <w:szCs w:val="19"/>
              </w:rPr>
              <w:t xml:space="preserve">DLA
UCZNIÓW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Uczniowie dokładnie wiedzą, czego oczekuje egzaminator – precyzyjniejsze i lepiej ustrukturyzowane prace.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Mierzalny wzrost wyników na egzaminie [☑ podaj liczby].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EEF2FB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2E5FA3"/>
                <w:sz w:val="19"/>
                <w:szCs w:val="19"/>
              </w:rPr>
              <w:t xml:space="preserve">DLA
SZKOŁY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Wyższe wyniki szkoły w rankingach egzaminacyjnych.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Szkoła dysponuje nauczycielem będącym jednocześnie egzaminatorem OKE.</w:t>
            </w:r>
          </w:p>
        </w:tc>
      </w:tr>
    </w:tbl>
    <w:p>
      <w:pPr>
        <w:spacing w:after="20" w:before="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426"/>
      </w:tblGrid>
      <w:tr>
        <w:tc>
          <w:tcPr>
            <w:tcW w:type="dxa" w:w="1600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shd w:fill="FEF3E2" w:val="clear"/>
            <w:tcMar>
              <w:top w:type="dxa" w:w="80"/>
              <w:left w:type="dxa" w:w="100"/>
              <w:bottom w:type="dxa" w:w="8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7D4A00"/>
                <w:sz w:val="19"/>
                <w:szCs w:val="19"/>
              </w:rPr>
              <w:t xml:space="preserve">DLA
NAUCZYCIELA</w:t>
            </w:r>
          </w:p>
        </w:tc>
        <w:tc>
          <w:tcPr>
            <w:tcW w:type="dxa" w:w="7426"/>
            <w:tcBorders>
              <w:top w:val="single" w:color="DDDDDD" w:sz="4"/>
              <w:left w:val="single" w:color="DDDDDD" w:sz="4"/>
              <w:bottom w:val="single" w:color="DDDDDD" w:sz="4"/>
              <w:right w:val="single" w:color="DDDDDD" w:sz="4"/>
            </w:tcBorders>
            <w:tcMar>
              <w:top w:type="dxa" w:w="60"/>
              <w:left w:type="dxa" w:w="120"/>
              <w:bottom w:type="dxa" w:w="60"/>
              <w:right w:type="dxa" w:w="80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Wyjątkowa znajomość aktualnego standardu egzaminacyjnego.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20" w:before="20"/>
            </w:pPr>
            <w:r>
              <w:rPr>
                <w:rFonts w:ascii="Calibri" w:cs="Calibri" w:eastAsia="Calibri" w:hAnsi="Calibri"/>
                <w:color w:val="333333"/>
                <w:sz w:val="21"/>
                <w:szCs w:val="21"/>
              </w:rPr>
              <w:t xml:space="preserve">Prestiż i uznanie w gronie pedagogicznym i w środowisku oświatowym.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left w:val="single" w:color="5B2C8D" w:sz="12"/>
        </w:pBdr>
        <w:shd w:fill="F4ECF7" w:val="clear"/>
        <w:spacing w:after="40" w:before="100"/>
        <w:ind w:left="80"/>
      </w:pPr>
      <w:r>
        <w:rPr>
          <w:rFonts w:ascii="Calibri" w:cs="Calibri" w:eastAsia="Calibri" w:hAnsi="Calibri"/>
          <w:b/>
          <w:bCs/>
          <w:color w:val="5B2C8D"/>
          <w:sz w:val="20"/>
          <w:szCs w:val="20"/>
        </w:rPr>
        <w:t xml:space="preserve"> WNIOSKI DO DALSZEJ PRACY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Regularnie aktualizować bank wzorcowych prac uczniów do ćwiczeń oceniania koleżeńskiego.</w:t>
      </w:r>
    </w:p>
    <w:p>
      <w:pPr>
        <w:pStyle w:val="ListParagraph"/>
        <w:numPr>
          <w:ilvl w:val="0"/>
          <w:numId w:val="2"/>
        </w:numPr>
        <w:spacing w:after="30" w:before="30"/>
      </w:pPr>
      <w:r>
        <w:rPr>
          <w:rFonts w:ascii="Calibri" w:cs="Calibri" w:eastAsia="Calibri" w:hAnsi="Calibri"/>
          <w:color w:val="5B2C8D"/>
          <w:sz w:val="22"/>
          <w:szCs w:val="22"/>
        </w:rPr>
        <w:t xml:space="preserve">Przeprowadzać corocznie lekcję symulacji pracy komisji jako trening przed egzaminem.</w:t>
      </w:r>
    </w:p>
    <w:p>
      <w:pPr>
        <w:spacing w:after="60" w:before="0"/>
      </w:pPr>
      <w:r>
        <w:t xml:space="preserve"/>
      </w:r>
    </w:p>
    <w:p>
      <w:pPr>
        <w:spacing w:after="160" w:before="0"/>
      </w:pPr>
      <w:r>
        <w:t xml:space="preserve"/>
      </w:r>
    </w:p>
    <w:p>
      <w:pPr>
        <w:spacing w:after="120" w:before="60"/>
        <w:jc w:val="right"/>
      </w:pPr>
      <w:r>
        <w:rPr>
          <w:rFonts w:ascii="Calibri" w:cs="Calibri" w:eastAsia="Calibri" w:hAnsi="Calibri"/>
          <w:i/>
          <w:iCs/>
          <w:color w:val="666666"/>
          <w:sz w:val="21"/>
          <w:szCs w:val="21"/>
        </w:rPr>
        <w:t xml:space="preserve">[☑ Miejscowość], dnia [☑ data]</w:t>
      </w:r>
    </w:p>
    <w:p>
      <w:pPr>
        <w:spacing w:after="40" w:before="0"/>
        <w:jc w:val="right"/>
      </w:pPr>
      <w:r>
        <w:rPr>
          <w:rFonts w:ascii="Calibri" w:cs="Calibri" w:eastAsia="Calibri" w:hAnsi="Calibri"/>
          <w:color w:val="333333"/>
          <w:sz w:val="22"/>
          <w:szCs w:val="22"/>
        </w:rPr>
        <w:t xml:space="preserve">____________________________</w:t>
      </w:r>
    </w:p>
    <w:p>
      <w:pPr>
        <w:spacing w:after="20" w:before="0"/>
        <w:jc w:val="right"/>
      </w:pPr>
      <w:r>
        <w:rPr>
          <w:rFonts w:ascii="Calibri" w:cs="Calibri" w:eastAsia="Calibri" w:hAnsi="Calibri"/>
          <w:color w:val="444444"/>
          <w:sz w:val="22"/>
          <w:szCs w:val="22"/>
        </w:rPr>
        <w:t xml:space="preserve">[☑ IMIĘ NAZWISKO]</w:t>
      </w:r>
    </w:p>
    <w:p>
      <w:pPr>
        <w:spacing w:after="0" w:before="0"/>
        <w:jc w:val="right"/>
      </w:pPr>
      <w:r>
        <w:rPr>
          <w:rFonts w:ascii="Calibri" w:cs="Calibri" w:eastAsia="Calibri" w:hAnsi="Calibri"/>
          <w:i/>
          <w:iCs/>
          <w:color w:val="777777"/>
          <w:sz w:val="20"/>
          <w:szCs w:val="20"/>
        </w:rPr>
        <w:t xml:space="preserve">nauczyciel języka polskiego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2026-05-25T12:30:38.926Z</dcterms:created>
  <dcterms:modified xsi:type="dcterms:W3CDTF">2026-05-25T12:30:38.926Z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